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248</w:t>
      </w:r>
    </w:p>
    <w:p>
      <w:r>
        <w:t>Bundesgericht (BGE), 2005-04-19, DE</w:t>
      </w:r>
    </w:p>
    <w:p>
      <w:r>
        <w:rPr>
          <w:b/>
        </w:rPr>
        <w:t xml:space="preserve">Quelle: </w:t>
      </w:r>
      <w:r>
        <w:t>https://mcp.opencaselaw.ch/entscheid/bge_131 II 248</w:t>
      </w:r>
    </w:p>
    <w:p>
      <w:r>
        <w:t>FR: ATF 131 II 248</w:t>
      </w:r>
    </w:p>
    <w:p>
      <w:r>
        <w:t>IT: DTF 131 II 248</w:t>
      </w:r>
    </w:p>
    <w:p>
      <w:pPr>
        <w:pStyle w:val="Heading2"/>
      </w:pPr>
      <w:r>
        <w:t>Regeste</w:t>
      </w:r>
    </w:p>
    <w:p>
      <w:r>
        <w:t>Regeste Art. 10 Abs. 3, Art. 16 Abs. 2 und 3, Art. 17 Abs. 1bis aSVG; Zulässigkeit von Auflagen zur Fahrerlaubnis bei gleichzeitigem Warnungsentzug. Die Wiedererteilung des zu Warnzwecken entzogenen Führerausweises nach Ablauf der Massnahme darf grundsätzlich nicht an Bedingungen oder Auflagen geknüpft werden (Bestätigung der Rechtsprechung; E. 4). Im Rahmen der Verhältnismässigkeit ist es stets zulässig, aus besonderen Gründen den Führerausweis mit Auflagen zu versehen (E. 6).</w:t>
      </w:r>
    </w:p>
    <w:p>
      <w:pPr>
        <w:pStyle w:val="Heading2"/>
      </w:pPr>
      <w:r>
        <w:t>Erwägungen</w:t>
      </w:r>
    </w:p>
    <w:p>
      <w:r>
        <w:rPr>
          <w:b/>
        </w:rPr>
        <w:t>E. 2</w:t>
      </w:r>
    </w:p>
    <w:p>
      <w:r>
        <w:t>Der Beschwerdeführer ist der Ansicht, die Vorinstanz habe Bundesrecht verletzt. Es sei nach der bundesgerichtlichen Rechtsprechung nicht zulässig, die Auflage anzuordnen, sich einer kontrollierten Alkoholabstinenz zu unterziehen und daneben einen Warnungsentzug auszusprechen.</w:t>
      </w:r>
    </w:p>
    <w:p>
      <w:r>
        <w:rPr>
          <w:b/>
        </w:rPr>
        <w:t>E. 3</w:t>
      </w:r>
    </w:p>
    <w:p>
      <w:r>
        <w:t>Die Bestimmungen über den Entzug von Führerausweisen wurden mit Bundesgesetz vom 14. Dezember 2001 revidiert (BBl BGE 131 II 248 S. 250 1999 S. 4462). In Kraft getreten ist das neue Recht auf den 1. Januar 2005. Es gilt nach den Übergangsbestimmungen grundsätzlich nur für Widerhandlungen, welche nach seinem In-Kraft-Treten begangen werden (AS 2002 S. 2780). Vorliegend kommen somit die zur Tatzeit geltenden alten Bestimmungen zur Anwendung.</w:t>
      </w:r>
    </w:p>
    <w:p>
      <w:r>
        <w:rPr>
          <w:b/>
        </w:rPr>
        <w:t>E. 4</w:t>
      </w:r>
    </w:p>
    <w:p>
      <w:r>
        <w:t>Die Gesetzgebung zum Strassenverkehr unterscheidet zwischen Warnungs- und Sicherungsentzügen. Der Warnungsentzug bezweckt, den Fahrzeuglenker, der schuldhaft Verkehrsregeln verletzt hat, zu mehr Sorgfalt und Verantwortung zu erziehen und ihn dadurch von weiteren Verkehrsdelikten abzuhalten (Art. 16 Abs. 2 und 3 aSVG; Art. 30 Abs. 2 aVZV; BGE 129 II 92 E. 2.1). Demgegenüber dient der Sicherungsentzug dazu, den Verkehr von Fahrzeuglenkern, die aus medizinischen oder charakterlichen Gründen, wegen Trunksucht oder anderer Süchte oder wegen einer anderen Unfähigkeit zum Führen eines Motorfahrzeugs nicht geeignet sind, freizuhalten ( Art. 16 Abs. 1 SVG in Verbindung mit Art. 14 Abs. 2 aSVG; BGE 129 II 82 E. 2.1).</w:t>
      </w:r>
    </w:p>
    <w:p>
      <w:r>
        <w:rPr>
          <w:b/>
        </w:rPr>
        <w:t>E. 4.1</w:t>
      </w:r>
    </w:p>
    <w:p>
      <w:r>
        <w:t>Seiner Funktion entsprechend wird der Führerausweis beim Sicherungsentzug auf unbestimmte Zeit entzogen. Die Wiedererteilung kommt erst in Frage, wenn der Eignungsmangel behoben ist (vgl. Art. 17 Abs. 1 bis aSVG). Zum Nachweis der Heilung wird bei Suchtkrankheiten in der Regel eine mindestens einjährige kontrollierte Abstinenz verlangt ( BGE 129 II 82 E. 2.2). Bestehen nach Ablauf der mindestens einjährigen Probezeit noch Bedenken, kann die Wiedererteilung des Führerausweises an Auflagen geknüpft werden ( BGE 125 II 289 E. 2b).</w:t>
      </w:r>
    </w:p>
    <w:p>
      <w:r>
        <w:rPr>
          <w:b/>
        </w:rPr>
        <w:t>E. 4.2</w:t>
      </w:r>
    </w:p>
    <w:p>
      <w:r>
        <w:t>Der Warnungsentzug kommt demgegenüber nur in Betracht, wenn die Fahreignung des fehlbaren Lenkers grundsätzlich zu bejahen ist. Diese Entzugsart hat erzieherischen Charakter und wird im Gegensatz zum Sicherungsentzug für eine bestimmte Dauer, in welcher die angestrebte Wirkung beim Verkehrsdelinquenten eintreten soll, ausgesprochen. Entsprechend ist nach Ablauf der Entzugsdauer der Ausweis dem Fahrzeuglenker ohne weiteres wieder auszuhändigen. In diesem Sinne darf die Wiedererteilung nach Ablauf der ausgesprochenen Entzugsdauer von keinen Bedingungen abhängig gemacht oder mit Auflagen verbunden werden ( BGE 130 II 25 E. 3.2 mit Hinweisen). Eine Ausnahme gilt einzig im Fall der vorzeitigen Wiedererteilung des Ausweises, die an Bedingungen geknüpft werden bzw. unter Auflagen erfolgen kann, welche die weitere Besserung des Fehlbaren sicherstellen sollen. BGE 131 II 248 S. 251</w:t>
      </w:r>
    </w:p>
    <w:p>
      <w:r>
        <w:rPr>
          <w:b/>
        </w:rPr>
        <w:t>E. 5</w:t>
      </w:r>
    </w:p>
    <w:p>
      <w:r>
        <w:t>Es trifft zu, dass der Selbstunfall vom 27. August 2003 sowohl Anlass für die Auflagen vom 30. Januar 2004 als auch für den am 3. März 2004 ausgesprochenen Warnungsentzug war. Die beiden Anordnungen stützen sich indessen auf unterschiedliche Bestimmungen und wurden rechtlich nicht verknüpft. Die umstrittene Verfügung vom 30. Januar 2004 bildet nicht Teil des Warnungsentzugs, da die Wiedererteilung des Ausweises nicht von der Einhaltung der Auflagen abhängig gemacht wurde. Dem Beschwerdeführer wurde denn auch nach Ablauf der Entzugsdauer der Führerausweis wieder ausgehändigt.</w:t>
      </w:r>
    </w:p>
    <w:p>
      <w:r>
        <w:rPr>
          <w:b/>
        </w:rPr>
        <w:t>E. 6</w:t>
      </w:r>
    </w:p>
    <w:p>
      <w:r>
        <w:t>Es stellt sich hier die Frage, ob nach einer Tat, die einen Warnungsentzug nach sich zieht, zusätzlich Auflagen zur Fahrerlaubnis verfügt werden dürfen.</w:t>
      </w:r>
    </w:p>
    <w:p>
      <w:r>
        <w:rPr>
          <w:b/>
        </w:rPr>
        <w:t>E. 6.1</w:t>
      </w:r>
    </w:p>
    <w:p>
      <w:r>
        <w:t>Die Verfügung vom 30. Januar 2002 enthält Auflagen zum Führerausweis gestützt auf Art. 10 Abs. 3 aSVG. Diese Bestimmung wurde mit In-Kraft-Treten der jüngsten Revision auf den 1. Januar 2005 aufgehoben, was aber an der Zulässigkeit von Auflagen nichts ändert (vgl. Botschaft des Bundesrats vom 31. März 1999, BBl 1999 S. 4482; PHILIPPE WEISSENBERGER, Administrativrechtliche Massnahmen gegenüber Motorfahrzeuglenkern bei Alkohol- und Drogengefährdung, Jahrbuch zum Strassenverkehrsrecht 2004, S. 134 mit zahlreichen Hinweisen). Nach verwaltungsrechtlichen Grundsätzen können Bewilligungen mit Nebenbestimmungen verbunden werden, wenn sie aufgrund des Gesetzes ansonsten verweigert werden könnten (ULRICH HÄFELIN/GEORG MÜLLER, Allgemeines Verwaltungsrecht, 4. Aufl., Zürich 2002, S. 187; WEISSENBERGER, a.a.O., mit weiteren Hinweisen).</w:t>
      </w:r>
    </w:p>
    <w:p>
      <w:r>
        <w:rPr>
          <w:b/>
        </w:rPr>
        <w:t>E. 6.2</w:t>
      </w:r>
    </w:p>
    <w:p>
      <w:r>
        <w:t>Aus besonderen Gründen können Führerausweise befristet, beschränkt oder mit Auflagen verbunden werden. Dies ist nicht nur bei der Ausweiserteilung, sondern auch in einem späteren Zeitpunkt möglich, um Schwächen hinsichtlich der Fahrtauglichkeit zu kompensieren. Solche Auflagen zur Fahrberechtigung sind somit im Rahmen der Verhältnismässigkeit stets zulässig, wenn sie der Verkehrssicherheit dienen und mit dem Wesen der Fahrerlaubnis im Einklang stehen (WEISSENBERGER, a.a.O., S. 134). Erforderlich ist, dass sich die Fahreignung nur mit dieser Massnahme aufrecht erhalten lässt ( BGE 130 II 25 E. 4; Urteil 6A.58/2004 vom 26. November 2004, E. 1). Zudem müssen die Auflagen erfüll- und kontrollierbar sein (RENÉ SCHAFFHAUSER, Grundriss des schweizerischen BGE 131 II 248 S. 252 Strassenverkehrsrechts, Bd. I: Grundlagen, Verkehrszulassung und Verkehrsregeln, Bern 2002, S. 164).</w:t>
      </w:r>
    </w:p>
    <w:p>
      <w:r>
        <w:rPr>
          <w:b/>
        </w:rPr>
        <w:t>E. 6.3</w:t>
      </w:r>
    </w:p>
    <w:p>
      <w:r>
        <w:t>Dass ein Fahrzeuglenker zum Alkoholmissbrauch neigt, stellt einen besonderen Grund dar, der Auflagen rechtfertigt. Die Fahreignung solcher Lenker bedarf der besonderen Kontrolle. Daran vermag der Umstand nichts zu ändern, dass der Beschwerdeführer grundsätzlich über die Eignung verfügt, ein Fahrzeug zu lenken, weil keine Alkoholsucht im medizinischen Sinne besteht. Angesichts der festgestellten Gefahr des Alkoholmissbrauchs erscheint es verhältnismässig, wenn die kantonalen Behörden die Fahrerlaubnis von der Einhaltung einer kontrollierten Abstinenz abhängig machen. Es besteht keine mildere Massnahme, mit der gewährleistet werden könnte, dass der Beschwerdeführer nicht in fahruntüchtigem Zustand am Verkehr teilnimmt. Die betreffende Auflage ist daher als erforderlich zu werten. Auch der Umstand, dass sich diese teilweise auf einen Zeitraum hätte erstrecken sollen, in welchem ihm infolge des Warnungsentzugs die Fahrberechtigung entzogen war, ändert daran nichts. Die ihm auferlegte abstinente Lebensweise bezweckt nämlich eine nachhaltige Sicherstellung der Fahreignung.</w:t>
      </w:r>
    </w:p>
    <w:p>
      <w:r>
        <w:rPr>
          <w:b/>
        </w:rPr>
        <w:t>E. 7</w:t>
      </w:r>
    </w:p>
    <w:p>
      <w:r>
        <w:t>Zusammenfassend ist festzuhalten, dass es im Rahmen der Verhältnismässigkeit stets zulässig ist, den Führerausweis mit Auflagen zu versehen, welche die Fahreignung des Lenkers sicherstellen. Es ist lediglich unzulässig, einen Warnungsentzug auszusprechen und die ordentliche Wiedererteilung von Bedingungen abhängig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